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40" w:rsidRPr="00FD1ECC" w:rsidRDefault="00AA7A40" w:rsidP="00AA7A40">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AA7A40" w:rsidRPr="00FD1ECC" w:rsidRDefault="00AA7A40" w:rsidP="00AA7A40">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AA7A40" w:rsidRDefault="00AA7A40" w:rsidP="00AA7A40">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124.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Pr="00AA7A40">
        <w:rPr>
          <w:rFonts w:ascii="Calibri" w:hAnsi="Calibri" w:cs="Calibri"/>
          <w:color w:val="0000B0"/>
          <w:sz w:val="28"/>
          <w:szCs w:val="28"/>
        </w:rPr>
        <w:t>Nur hizmetinde ihlâs ve tefani sırrının ehemmiyeti</w:t>
      </w:r>
      <w:r w:rsidR="007C32DF">
        <w:rPr>
          <w:rFonts w:ascii="Calibri" w:hAnsi="Calibri" w:cs="Calibri"/>
          <w:color w:val="0000B0"/>
          <w:sz w:val="28"/>
          <w:szCs w:val="28"/>
        </w:rPr>
        <w:t xml:space="preserve"> ve uhuvvetin incelikleri</w:t>
      </w:r>
      <w:r>
        <w:rPr>
          <w:rStyle w:val="FootnoteReference"/>
          <w:rFonts w:ascii="Calibri" w:hAnsi="Calibri" w:cs="Calibri"/>
          <w:color w:val="0000B0"/>
          <w:sz w:val="28"/>
          <w:szCs w:val="28"/>
        </w:rPr>
        <w:footnoteReference w:id="2"/>
      </w:r>
    </w:p>
    <w:p w:rsidR="00AA7A40" w:rsidRPr="00AA7A40" w:rsidRDefault="00AA7A40" w:rsidP="00AA7A40">
      <w:pPr>
        <w:spacing w:before="120" w:after="0" w:line="240" w:lineRule="auto"/>
        <w:rPr>
          <w:rFonts w:ascii="Calibri" w:hAnsi="Calibri" w:cs="Calibri"/>
          <w:sz w:val="24"/>
          <w:szCs w:val="24"/>
        </w:rPr>
      </w:pPr>
      <w:r w:rsidRPr="00AA7A40">
        <w:rPr>
          <w:rFonts w:ascii="Calibri" w:hAnsi="Calibri" w:cs="Calibri"/>
          <w:sz w:val="24"/>
          <w:szCs w:val="24"/>
        </w:rPr>
        <w:t>(Said Nursî'nin bir fıkrasıdır)</w:t>
      </w:r>
    </w:p>
    <w:p w:rsidR="00AA7A40" w:rsidRPr="00AA7A40" w:rsidRDefault="00AA7A40" w:rsidP="00AA7A40">
      <w:pPr>
        <w:spacing w:before="120" w:after="0" w:line="240" w:lineRule="auto"/>
        <w:jc w:val="center"/>
        <w:rPr>
          <w:rFonts w:ascii="Calibri" w:hAnsi="Calibri" w:cs="Calibri"/>
          <w:color w:val="FF0000"/>
          <w:sz w:val="28"/>
          <w:szCs w:val="28"/>
        </w:rPr>
      </w:pPr>
      <w:r w:rsidRPr="00AA7A40">
        <w:rPr>
          <w:rFonts w:ascii="Calibri" w:hAnsi="Calibri" w:cs="Calibri"/>
          <w:color w:val="FF0000"/>
          <w:sz w:val="28"/>
          <w:szCs w:val="28"/>
          <w:rtl/>
        </w:rPr>
        <w:t>بِاسْمِهِ وَاِنْ مِنْ شَيْءٍ اِلاَّ يُسَبِّحُ بِحَمْدِهِ</w:t>
      </w:r>
    </w:p>
    <w:p w:rsidR="00AA7A40" w:rsidRPr="00AA7A40" w:rsidRDefault="00AA7A40" w:rsidP="00AA7A40">
      <w:pPr>
        <w:spacing w:before="120" w:after="0" w:line="240" w:lineRule="auto"/>
        <w:jc w:val="center"/>
        <w:rPr>
          <w:rFonts w:ascii="Calibri" w:hAnsi="Calibri" w:cs="Calibri"/>
          <w:color w:val="FF0000"/>
          <w:sz w:val="28"/>
          <w:szCs w:val="28"/>
        </w:rPr>
      </w:pPr>
      <w:r w:rsidRPr="00AA7A40">
        <w:rPr>
          <w:rFonts w:ascii="Calibri" w:hAnsi="Calibri" w:cs="Calibri"/>
          <w:color w:val="FF0000"/>
          <w:sz w:val="28"/>
          <w:szCs w:val="28"/>
          <w:rtl/>
        </w:rPr>
        <w:t>اَلسَّلاَمُ عَلَيْكُمْ وَ رَحْمَةُ اللّٰهِ وَ بَرَكَاتُهُ</w:t>
      </w:r>
    </w:p>
    <w:p w:rsidR="00AA7A40" w:rsidRPr="00AA7A40" w:rsidRDefault="00AA7A40" w:rsidP="00AA7A40">
      <w:pPr>
        <w:spacing w:before="120" w:after="0" w:line="240" w:lineRule="auto"/>
        <w:jc w:val="both"/>
        <w:rPr>
          <w:rFonts w:ascii="Calibri" w:hAnsi="Calibri" w:cs="Calibri"/>
          <w:sz w:val="24"/>
          <w:szCs w:val="24"/>
        </w:rPr>
      </w:pPr>
      <w:r w:rsidRPr="00AA7A40">
        <w:rPr>
          <w:rFonts w:ascii="Calibri" w:hAnsi="Calibri" w:cs="Calibri"/>
          <w:sz w:val="24"/>
          <w:szCs w:val="24"/>
        </w:rPr>
        <w:t>Aziz, sıddık, sadık, çalışkan kardeşim, hizmet-i Kur'an'da arkadaşım Re'fet Bey!</w:t>
      </w:r>
    </w:p>
    <w:p w:rsidR="00AA7A40" w:rsidRPr="00AA7A40" w:rsidRDefault="00AA7A40" w:rsidP="00AA7A40">
      <w:pPr>
        <w:spacing w:before="120" w:after="0" w:line="240" w:lineRule="auto"/>
        <w:jc w:val="both"/>
        <w:rPr>
          <w:rFonts w:ascii="Calibri" w:hAnsi="Calibri" w:cs="Calibri"/>
          <w:sz w:val="24"/>
          <w:szCs w:val="24"/>
        </w:rPr>
      </w:pPr>
      <w:r w:rsidRPr="00AA7A40">
        <w:rPr>
          <w:rFonts w:ascii="Calibri" w:hAnsi="Calibri" w:cs="Calibri"/>
          <w:sz w:val="24"/>
          <w:szCs w:val="24"/>
        </w:rPr>
        <w:t>Senin gördüğün vazife-i Kur'aniyenin hepsi mübarektir. Cenab-ı Hak sizi muvaffak etsin, fütur vermesin, şevkinizi artırsın.</w:t>
      </w:r>
    </w:p>
    <w:p w:rsidR="00AA7A40" w:rsidRPr="00AA7A40" w:rsidRDefault="00AA7A40" w:rsidP="00AA7A40">
      <w:pPr>
        <w:spacing w:before="120" w:after="0" w:line="240" w:lineRule="auto"/>
        <w:jc w:val="both"/>
        <w:rPr>
          <w:rFonts w:ascii="Calibri" w:hAnsi="Calibri" w:cs="Calibri"/>
          <w:sz w:val="24"/>
          <w:szCs w:val="24"/>
        </w:rPr>
      </w:pPr>
      <w:r w:rsidRPr="00AA7A40">
        <w:rPr>
          <w:rFonts w:ascii="Calibri" w:hAnsi="Calibri" w:cs="Calibri"/>
          <w:sz w:val="24"/>
          <w:szCs w:val="24"/>
        </w:rPr>
        <w:t>Senin vazifen yazıdan daha mühimdir. Yalnız, yazıyı terk etmeyiniz.</w:t>
      </w:r>
    </w:p>
    <w:p w:rsidR="00AA7A40" w:rsidRPr="00AA7A40" w:rsidRDefault="00AA7A40" w:rsidP="0040327E">
      <w:pPr>
        <w:spacing w:before="120" w:after="0" w:line="240" w:lineRule="auto"/>
        <w:jc w:val="both"/>
        <w:rPr>
          <w:rFonts w:ascii="Calibri" w:hAnsi="Calibri" w:cs="Calibri"/>
          <w:sz w:val="24"/>
          <w:szCs w:val="24"/>
        </w:rPr>
      </w:pPr>
      <w:r w:rsidRPr="00AA7A40">
        <w:rPr>
          <w:rFonts w:ascii="Calibri" w:hAnsi="Calibri" w:cs="Calibri"/>
          <w:sz w:val="24"/>
          <w:szCs w:val="24"/>
        </w:rPr>
        <w:t>Uhuvvet</w:t>
      </w:r>
      <w:r>
        <w:rPr>
          <w:rStyle w:val="FootnoteReference"/>
          <w:rFonts w:ascii="Calibri" w:hAnsi="Calibri" w:cs="Calibri"/>
          <w:sz w:val="24"/>
          <w:szCs w:val="24"/>
        </w:rPr>
        <w:footnoteReference w:id="3"/>
      </w:r>
      <w:r w:rsidRPr="00AA7A40">
        <w:rPr>
          <w:rFonts w:ascii="Calibri" w:hAnsi="Calibri" w:cs="Calibri"/>
          <w:sz w:val="24"/>
          <w:szCs w:val="24"/>
        </w:rPr>
        <w:t xml:space="preserve"> için bir düsturu beyan edeceğim ki; o düsturu cidden nazara almalısınız. Hayat, vahdet ve ittihadın neticesidir. İmtizackârane</w:t>
      </w:r>
      <w:r w:rsidR="00962188">
        <w:rPr>
          <w:rStyle w:val="FootnoteReference"/>
          <w:rFonts w:ascii="Calibri" w:hAnsi="Calibri" w:cs="Calibri"/>
          <w:sz w:val="24"/>
          <w:szCs w:val="24"/>
        </w:rPr>
        <w:footnoteReference w:id="4"/>
      </w:r>
      <w:r w:rsidRPr="00AA7A40">
        <w:rPr>
          <w:rFonts w:ascii="Calibri" w:hAnsi="Calibri" w:cs="Calibri"/>
          <w:sz w:val="24"/>
          <w:szCs w:val="24"/>
        </w:rPr>
        <w:t xml:space="preserve"> ittihad</w:t>
      </w:r>
      <w:r>
        <w:rPr>
          <w:rStyle w:val="FootnoteReference"/>
          <w:rFonts w:ascii="Calibri" w:hAnsi="Calibri" w:cs="Calibri"/>
          <w:sz w:val="24"/>
          <w:szCs w:val="24"/>
        </w:rPr>
        <w:footnoteReference w:id="5"/>
      </w:r>
      <w:r w:rsidRPr="00AA7A40">
        <w:rPr>
          <w:rFonts w:ascii="Calibri" w:hAnsi="Calibri" w:cs="Calibri"/>
          <w:sz w:val="24"/>
          <w:szCs w:val="24"/>
        </w:rPr>
        <w:t xml:space="preserve"> gittiği vakit, manevî hayat</w:t>
      </w:r>
      <w:r w:rsidR="00760E57">
        <w:rPr>
          <w:rStyle w:val="FootnoteReference"/>
          <w:rFonts w:ascii="Calibri" w:hAnsi="Calibri" w:cs="Calibri"/>
          <w:sz w:val="24"/>
          <w:szCs w:val="24"/>
        </w:rPr>
        <w:footnoteReference w:id="6"/>
      </w:r>
      <w:r w:rsidRPr="00AA7A40">
        <w:rPr>
          <w:rFonts w:ascii="Calibri" w:hAnsi="Calibri" w:cs="Calibri"/>
          <w:sz w:val="24"/>
          <w:szCs w:val="24"/>
        </w:rPr>
        <w:t xml:space="preserve"> da gider. </w:t>
      </w:r>
      <w:r w:rsidRPr="00AA7A40">
        <w:rPr>
          <w:rFonts w:ascii="Calibri" w:hAnsi="Calibri" w:cs="Calibri"/>
          <w:color w:val="FF0000"/>
          <w:sz w:val="28"/>
          <w:szCs w:val="28"/>
          <w:rtl/>
        </w:rPr>
        <w:t>وَ لاَ تَنَازَعُوا فَتَفْشَلُوا وَ تَذْهَبَ رِيحُكُمْ</w:t>
      </w:r>
      <w:r w:rsidRPr="00AA7A40">
        <w:rPr>
          <w:rFonts w:ascii="Calibri" w:hAnsi="Calibri" w:cs="Calibri"/>
          <w:color w:val="FF0000"/>
          <w:sz w:val="28"/>
          <w:szCs w:val="28"/>
        </w:rPr>
        <w:t xml:space="preserve"> </w:t>
      </w:r>
      <w:r w:rsidRPr="00AA7A40">
        <w:rPr>
          <w:rFonts w:ascii="Calibri" w:hAnsi="Calibri" w:cs="Calibri"/>
          <w:sz w:val="24"/>
          <w:szCs w:val="24"/>
        </w:rPr>
        <w:t>işaret ettiği gibi, tesanüd bozulsa cemaatın tadı kaçar.</w:t>
      </w:r>
      <w:r w:rsidR="0040327E">
        <w:rPr>
          <w:rStyle w:val="FootnoteReference"/>
          <w:rFonts w:ascii="Calibri" w:hAnsi="Calibri" w:cs="Calibri"/>
          <w:sz w:val="24"/>
          <w:szCs w:val="24"/>
        </w:rPr>
        <w:footnoteReference w:id="7"/>
      </w:r>
      <w:r w:rsidRPr="00AA7A40">
        <w:rPr>
          <w:rFonts w:ascii="Calibri" w:hAnsi="Calibri" w:cs="Calibri"/>
          <w:sz w:val="24"/>
          <w:szCs w:val="24"/>
        </w:rPr>
        <w:t xml:space="preserve"> </w:t>
      </w:r>
      <w:r w:rsidRPr="00AA7A40">
        <w:rPr>
          <w:rFonts w:ascii="Calibri" w:hAnsi="Calibri" w:cs="Calibri"/>
          <w:sz w:val="24"/>
          <w:szCs w:val="24"/>
        </w:rPr>
        <w:lastRenderedPageBreak/>
        <w:t>Bilirsiniz ki; üç elif ayrı ayrı yazılsa kıymeti üçtür. Tesanüd-ü adedî ile içtima etse, yüzonbir kıymetinde olduğu gibi.. sizin gibi üç-dört hâdim-i hak, ayrı ayrı ve taksim-ül a'mal olmamak cihetiyle hareket etse, kuvvetleri üç-dört adam kadardır. Eğer hakikî bir uhuvvetle, birbirinin faziletleriyle iftihar edecek bir tesanüdle, birbirinin aynı olmak derecede bir tefani sırrıyla hareket etseler; o dört adam, dörtyüz adam kuvvetinin kıymetindedirler.</w:t>
      </w:r>
      <w:r w:rsidR="005D23FC">
        <w:rPr>
          <w:rStyle w:val="FootnoteReference"/>
          <w:rFonts w:ascii="Calibri" w:hAnsi="Calibri" w:cs="Calibri"/>
          <w:sz w:val="24"/>
          <w:szCs w:val="24"/>
        </w:rPr>
        <w:footnoteReference w:id="8"/>
      </w:r>
    </w:p>
    <w:p w:rsidR="005D23FC" w:rsidRPr="005D23FC" w:rsidRDefault="00AA7A40" w:rsidP="005D23FC">
      <w:pPr>
        <w:spacing w:before="120" w:after="0" w:line="240" w:lineRule="auto"/>
        <w:jc w:val="both"/>
        <w:rPr>
          <w:rFonts w:ascii="Calibri" w:hAnsi="Calibri" w:cs="Calibri"/>
          <w:sz w:val="24"/>
          <w:szCs w:val="24"/>
        </w:rPr>
      </w:pPr>
      <w:r w:rsidRPr="00AA7A40">
        <w:rPr>
          <w:rFonts w:ascii="Calibri" w:hAnsi="Calibri" w:cs="Calibri"/>
          <w:sz w:val="24"/>
          <w:szCs w:val="24"/>
        </w:rPr>
        <w:t>Sizler koca Isparta'yı değil, belki büyük bir memleketi tenvir edecek elektriklerin makinistleri hükmündesiniz.</w:t>
      </w:r>
      <w:r w:rsidR="005D23FC">
        <w:rPr>
          <w:rStyle w:val="FootnoteReference"/>
          <w:rFonts w:ascii="Calibri" w:hAnsi="Calibri" w:cs="Calibri"/>
          <w:sz w:val="24"/>
          <w:szCs w:val="24"/>
        </w:rPr>
        <w:footnoteReference w:id="9"/>
      </w:r>
      <w:r w:rsidRPr="00AA7A40">
        <w:rPr>
          <w:rFonts w:ascii="Calibri" w:hAnsi="Calibri" w:cs="Calibri"/>
          <w:sz w:val="24"/>
          <w:szCs w:val="24"/>
        </w:rPr>
        <w:t xml:space="preserve"> Makinenin çarkları birbirine muavenete mecburdur. Hem birbirini kıskanmak değil, belki bilakis birbirinin fazla kuvvetinden memnun olurlar. Şuurlu farzettiğimiz bir çark, daha kuvvetli bir çarkı görse memnun olur. Çünki vazifesini tahfif ediyor. Hak ve hakikatın, Kur'an ve imanın hizmeti olan büyük bir hazine-i âliyeyi omuzlarında taşıyan zâtlar, kuvvetli omuzlar altına girdikçe iftihar eder, minnetdar olur, şükreder.</w:t>
      </w:r>
      <w:r w:rsidR="005D23FC">
        <w:rPr>
          <w:rStyle w:val="FootnoteReference"/>
          <w:rFonts w:ascii="Calibri" w:hAnsi="Calibri" w:cs="Calibri"/>
          <w:sz w:val="24"/>
          <w:szCs w:val="24"/>
        </w:rPr>
        <w:footnoteReference w:id="10"/>
      </w:r>
      <w:r w:rsidRPr="00AA7A40">
        <w:rPr>
          <w:rFonts w:ascii="Calibri" w:hAnsi="Calibri" w:cs="Calibri"/>
          <w:sz w:val="24"/>
          <w:szCs w:val="24"/>
        </w:rPr>
        <w:t xml:space="preserve"> Sakın birbirinize tenkid</w:t>
      </w:r>
      <w:r w:rsidR="00584690">
        <w:rPr>
          <w:rStyle w:val="FootnoteReference"/>
          <w:rFonts w:ascii="Calibri" w:hAnsi="Calibri" w:cs="Calibri"/>
          <w:sz w:val="24"/>
          <w:szCs w:val="24"/>
        </w:rPr>
        <w:footnoteReference w:id="11"/>
      </w:r>
      <w:r w:rsidRPr="00AA7A40">
        <w:rPr>
          <w:rFonts w:ascii="Calibri" w:hAnsi="Calibri" w:cs="Calibri"/>
          <w:sz w:val="24"/>
          <w:szCs w:val="24"/>
        </w:rPr>
        <w:t xml:space="preserve"> kapısını açmayınız. Tenkid edilecek şeyler,</w:t>
      </w:r>
      <w:r w:rsidR="005D23FC">
        <w:rPr>
          <w:rFonts w:ascii="Calibri" w:hAnsi="Calibri" w:cs="Calibri"/>
          <w:sz w:val="24"/>
          <w:szCs w:val="24"/>
        </w:rPr>
        <w:t xml:space="preserve"> </w:t>
      </w:r>
      <w:r w:rsidR="005D23FC" w:rsidRPr="005D23FC">
        <w:rPr>
          <w:rFonts w:ascii="Calibri" w:hAnsi="Calibri" w:cs="Calibri"/>
          <w:sz w:val="24"/>
          <w:szCs w:val="24"/>
        </w:rPr>
        <w:t>kardeşlerinizden hariç dairelerde çok var. Ben nasıl sizin meziyetinizle iftihar ediyorum, o meziyetlerden ben mahrum kaldıkça, sizde bulunduğundan memnun oluyorum, kendimindir telakki ediyorum. Siz de üstadınızın nazarıyla birbirinize bakmalısınız. Âdeta her biriniz ötekinin faziletlerine naşir olunuz. Kardeşlerimizden İslâmköy'lü Hâfız Ali Efendi, kendine rakib olacak diğer bir kardeşimiz hakkında gösterdiği hiss-i uhuvveti çok kıymetdar gördüğüm için size beyan ediyorum:</w:t>
      </w:r>
    </w:p>
    <w:p w:rsidR="005D23FC" w:rsidRPr="005D23FC" w:rsidRDefault="005D23FC" w:rsidP="005D23FC">
      <w:pPr>
        <w:spacing w:before="120" w:after="0" w:line="240" w:lineRule="auto"/>
        <w:jc w:val="both"/>
        <w:rPr>
          <w:rFonts w:ascii="Calibri" w:hAnsi="Calibri" w:cs="Calibri"/>
          <w:sz w:val="24"/>
          <w:szCs w:val="24"/>
        </w:rPr>
      </w:pPr>
      <w:r w:rsidRPr="005D23FC">
        <w:rPr>
          <w:rFonts w:ascii="Calibri" w:hAnsi="Calibri" w:cs="Calibri"/>
          <w:sz w:val="24"/>
          <w:szCs w:val="24"/>
        </w:rPr>
        <w:t xml:space="preserve">O zât yanıma geldi; ötekinin hattı, kendisinin hattından iyi olduğunu söyledim. O daha çok hizmet eder, dedim. Baktım ki; Hâfız Ali kemal-i samimiyet ve ihlas ile, onun tefevvuku ile iftihar etti, telezzüz eyledi. Hem üstadının nazar-ı muhabbetini celbettiği için memnun oldu. Onun kalbine dikkat ettim; gösteriş değil, samimî olduğunu hissettim. Cenab-ı Allah'a </w:t>
      </w:r>
      <w:r w:rsidRPr="005D23FC">
        <w:rPr>
          <w:rFonts w:ascii="Calibri" w:hAnsi="Calibri" w:cs="Calibri"/>
          <w:sz w:val="24"/>
          <w:szCs w:val="24"/>
        </w:rPr>
        <w:lastRenderedPageBreak/>
        <w:t xml:space="preserve">şükrettim ki, kardeşlerim içinde bu âlî hissi taşıyanlar var. İnşâallah bu his büyük hizmet görecek. Elhamdülillah yavaş yavaş o his bu civarımızdaki kardeşlere sirayet ediyor. </w:t>
      </w:r>
    </w:p>
    <w:p w:rsidR="00AA7A40" w:rsidRDefault="00AA7A40" w:rsidP="00AA7A40">
      <w:pPr>
        <w:spacing w:before="120" w:after="0" w:line="240" w:lineRule="auto"/>
        <w:jc w:val="both"/>
      </w:pPr>
    </w:p>
    <w:sectPr w:rsidR="00AA7A40"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ABC" w:rsidRDefault="00226ABC" w:rsidP="00AA7A40">
      <w:pPr>
        <w:spacing w:after="0" w:line="240" w:lineRule="auto"/>
      </w:pPr>
      <w:r>
        <w:separator/>
      </w:r>
    </w:p>
  </w:endnote>
  <w:endnote w:type="continuationSeparator" w:id="1">
    <w:p w:rsidR="00226ABC" w:rsidRDefault="00226ABC" w:rsidP="00AA7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ABC" w:rsidRDefault="00226ABC" w:rsidP="00AA7A40">
      <w:pPr>
        <w:spacing w:after="0" w:line="240" w:lineRule="auto"/>
      </w:pPr>
      <w:r>
        <w:separator/>
      </w:r>
    </w:p>
  </w:footnote>
  <w:footnote w:type="continuationSeparator" w:id="1">
    <w:p w:rsidR="00226ABC" w:rsidRDefault="00226ABC" w:rsidP="00AA7A40">
      <w:pPr>
        <w:spacing w:after="0" w:line="240" w:lineRule="auto"/>
      </w:pPr>
      <w:r>
        <w:continuationSeparator/>
      </w:r>
    </w:p>
  </w:footnote>
  <w:footnote w:id="2">
    <w:p w:rsidR="00AA7A40" w:rsidRPr="006D30A8" w:rsidRDefault="00AA7A40" w:rsidP="005D23FC">
      <w:pPr>
        <w:pStyle w:val="FootnoteText"/>
        <w:spacing w:before="120"/>
        <w:jc w:val="both"/>
        <w:rPr>
          <w:sz w:val="24"/>
          <w:szCs w:val="24"/>
        </w:rPr>
      </w:pPr>
      <w:r w:rsidRPr="006D30A8">
        <w:rPr>
          <w:rStyle w:val="FootnoteReference"/>
          <w:sz w:val="24"/>
          <w:szCs w:val="24"/>
        </w:rPr>
        <w:footnoteRef/>
      </w:r>
      <w:r w:rsidRPr="006D30A8">
        <w:rPr>
          <w:sz w:val="24"/>
          <w:szCs w:val="24"/>
        </w:rPr>
        <w:t xml:space="preserve"> </w:t>
      </w:r>
      <w:r w:rsidRPr="00566F39">
        <w:rPr>
          <w:rFonts w:ascii="Calibri" w:hAnsi="Calibri" w:cs="Calibri"/>
          <w:i/>
          <w:iCs/>
          <w:sz w:val="24"/>
          <w:szCs w:val="24"/>
        </w:rPr>
        <w:t>(Farklı derslerde okunmuş farklı derlemelerin birleştirilmesiyle hazırlanmıştır.)</w:t>
      </w:r>
    </w:p>
  </w:footnote>
  <w:footnote w:id="3">
    <w:p w:rsidR="00AA7A40" w:rsidRDefault="00AA7A40" w:rsidP="005D23FC">
      <w:pPr>
        <w:pStyle w:val="FootnoteText"/>
        <w:spacing w:before="120"/>
        <w:rPr>
          <w:rFonts w:ascii="Calibri" w:hAnsi="Calibri" w:cs="Calibri"/>
          <w:sz w:val="24"/>
          <w:szCs w:val="24"/>
        </w:rPr>
      </w:pPr>
      <w:r>
        <w:rPr>
          <w:rStyle w:val="FootnoteReference"/>
        </w:rPr>
        <w:footnoteRef/>
      </w:r>
      <w:r>
        <w:t xml:space="preserve"> </w:t>
      </w:r>
      <w:r w:rsidRPr="00AA7A40">
        <w:rPr>
          <w:rFonts w:ascii="Calibri" w:hAnsi="Calibri" w:cs="Calibri"/>
          <w:b/>
          <w:bCs/>
          <w:sz w:val="24"/>
          <w:szCs w:val="24"/>
        </w:rPr>
        <w:t>Uhuvvet:</w:t>
      </w:r>
      <w:r>
        <w:rPr>
          <w:rFonts w:ascii="Calibri" w:hAnsi="Calibri" w:cs="Calibri"/>
          <w:sz w:val="24"/>
          <w:szCs w:val="24"/>
        </w:rPr>
        <w:t xml:space="preserve"> Kardeşlik, yani mü’minler arasında sıla-i rahim, îsar hasleti, tefani sırrı ve keder ve sürurda müştereklikdir.</w:t>
      </w:r>
    </w:p>
    <w:p w:rsidR="001D487A" w:rsidRDefault="001D487A" w:rsidP="007C32DF">
      <w:pPr>
        <w:pStyle w:val="FootnoteText"/>
        <w:spacing w:before="120"/>
      </w:pPr>
      <w:r w:rsidRPr="004903B0">
        <w:rPr>
          <w:i/>
          <w:iCs/>
          <w:sz w:val="24"/>
          <w:szCs w:val="24"/>
        </w:rPr>
        <w:t xml:space="preserve">(Bakınız: </w:t>
      </w:r>
      <w:r>
        <w:rPr>
          <w:i/>
          <w:iCs/>
          <w:sz w:val="24"/>
          <w:szCs w:val="24"/>
          <w:highlight w:val="yellow"/>
        </w:rPr>
        <w:t>Uhuvvet</w:t>
      </w:r>
      <w:r w:rsidRPr="00584690">
        <w:rPr>
          <w:i/>
          <w:iCs/>
          <w:sz w:val="24"/>
          <w:szCs w:val="24"/>
          <w:highlight w:val="yellow"/>
        </w:rPr>
        <w:t>,</w:t>
      </w:r>
      <w:r>
        <w:rPr>
          <w:i/>
          <w:iCs/>
          <w:sz w:val="24"/>
          <w:szCs w:val="24"/>
          <w:highlight w:val="yellow"/>
        </w:rPr>
        <w:t xml:space="preserve"> Samimi Uhuvvet </w:t>
      </w:r>
      <w:r w:rsidRPr="007C32DF">
        <w:rPr>
          <w:i/>
          <w:iCs/>
          <w:sz w:val="24"/>
          <w:szCs w:val="24"/>
          <w:highlight w:val="yellow"/>
        </w:rPr>
        <w:t>Düsturları</w:t>
      </w:r>
      <w:r w:rsidR="007C32DF" w:rsidRPr="007C32DF">
        <w:rPr>
          <w:i/>
          <w:iCs/>
          <w:sz w:val="24"/>
          <w:szCs w:val="24"/>
          <w:highlight w:val="yellow"/>
        </w:rPr>
        <w:t xml:space="preserve"> ve</w:t>
      </w:r>
      <w:r w:rsidRPr="007C32DF">
        <w:rPr>
          <w:i/>
          <w:iCs/>
          <w:sz w:val="24"/>
          <w:szCs w:val="24"/>
          <w:highlight w:val="yellow"/>
        </w:rPr>
        <w:t xml:space="preserve"> Uhuvvet ve Tesanüd Derlemeleri)</w:t>
      </w:r>
      <w:r w:rsidRPr="001D487A">
        <w:t xml:space="preserve"> </w:t>
      </w:r>
    </w:p>
  </w:footnote>
  <w:footnote w:id="4">
    <w:p w:rsidR="00962188" w:rsidRDefault="00962188" w:rsidP="005D23FC">
      <w:pPr>
        <w:pStyle w:val="FootnoteText"/>
        <w:spacing w:before="120"/>
        <w:jc w:val="both"/>
        <w:rPr>
          <w:rFonts w:ascii="Calibri" w:hAnsi="Calibri" w:cs="Calibri"/>
          <w:b/>
          <w:bCs/>
          <w:sz w:val="24"/>
          <w:szCs w:val="24"/>
        </w:rPr>
      </w:pPr>
      <w:r>
        <w:rPr>
          <w:rStyle w:val="FootnoteReference"/>
        </w:rPr>
        <w:footnoteRef/>
      </w:r>
      <w:r>
        <w:t xml:space="preserve"> </w:t>
      </w:r>
      <w:r w:rsidRPr="00962188">
        <w:rPr>
          <w:rFonts w:ascii="Calibri" w:hAnsi="Calibri" w:cs="Calibri"/>
          <w:b/>
          <w:bCs/>
          <w:sz w:val="24"/>
          <w:szCs w:val="24"/>
        </w:rPr>
        <w:t>Bu imtizackârane ittihadın esası hissîdir.</w:t>
      </w:r>
      <w:r>
        <w:rPr>
          <w:rFonts w:ascii="Calibri" w:hAnsi="Calibri" w:cs="Calibri"/>
          <w:b/>
          <w:bCs/>
          <w:sz w:val="24"/>
          <w:szCs w:val="24"/>
        </w:rPr>
        <w:t xml:space="preserve"> Yani cemaatin ferdleri arasında hürmet, merhamet ve muhabbet gibi hislerle manevi irtibat ve bağlılık sağlanır. Eğer cemaat arasında bu kuvvetli bağ yoksa veya menfaat gibi sebeblere istinad ediyorsa, o cemaatin durumu imtizac değil ihtilattır.</w:t>
      </w:r>
    </w:p>
    <w:p w:rsidR="00A274F5" w:rsidRPr="00217320" w:rsidRDefault="00962188" w:rsidP="005D23FC">
      <w:pPr>
        <w:pStyle w:val="FootnoteText"/>
        <w:spacing w:before="120"/>
        <w:jc w:val="both"/>
        <w:rPr>
          <w:rFonts w:ascii="Calibri" w:hAnsi="Calibri" w:cs="Calibri"/>
          <w:b/>
          <w:bCs/>
          <w:sz w:val="24"/>
          <w:szCs w:val="24"/>
        </w:rPr>
      </w:pPr>
      <w:r w:rsidRPr="00962188">
        <w:rPr>
          <w:rFonts w:ascii="Calibri" w:hAnsi="Calibri" w:cs="Calibri"/>
          <w:sz w:val="24"/>
          <w:szCs w:val="24"/>
        </w:rPr>
        <w:t xml:space="preserve">“Yazık!. Eyvahlar olsun! </w:t>
      </w:r>
      <w:r w:rsidRPr="00962188">
        <w:rPr>
          <w:rFonts w:ascii="Calibri" w:hAnsi="Calibri" w:cs="Calibri"/>
          <w:sz w:val="24"/>
          <w:szCs w:val="24"/>
          <w:u w:val="single"/>
        </w:rPr>
        <w:t xml:space="preserve">Bizdeki unsurlar, ırklar, hava gibi muhtelittir. Su gibi memzuç olmamışlar. </w:t>
      </w:r>
      <w:r w:rsidRPr="00962188">
        <w:rPr>
          <w:rFonts w:ascii="Calibri" w:hAnsi="Calibri" w:cs="Calibri"/>
          <w:sz w:val="24"/>
          <w:szCs w:val="24"/>
        </w:rPr>
        <w:t>İnşâallah elektrik-i hakaik-i İslâmiyetle imtizaç ederek, ziya-yı maarif-i İslâmiye hararetiyle kuvvet tevlid ederek, bir mizac-ı mutedile-i adalet vücuda gelecektir.</w:t>
      </w:r>
      <w:r>
        <w:rPr>
          <w:rFonts w:ascii="Calibri" w:hAnsi="Calibri" w:cs="Calibri"/>
          <w:sz w:val="24"/>
          <w:szCs w:val="24"/>
        </w:rPr>
        <w:t xml:space="preserve">” </w:t>
      </w:r>
      <w:r w:rsidRPr="00962188">
        <w:rPr>
          <w:rFonts w:ascii="Calibri" w:hAnsi="Calibri" w:cs="Calibri"/>
          <w:b/>
          <w:bCs/>
          <w:sz w:val="24"/>
          <w:szCs w:val="24"/>
        </w:rPr>
        <w:t xml:space="preserve">Divan-ı </w:t>
      </w:r>
      <w:r w:rsidRPr="00A274F5">
        <w:rPr>
          <w:rFonts w:ascii="Calibri" w:hAnsi="Calibri" w:cs="Calibri"/>
          <w:b/>
          <w:bCs/>
          <w:sz w:val="24"/>
          <w:szCs w:val="24"/>
        </w:rPr>
        <w:t>Harb-i Örfi (49)</w:t>
      </w:r>
    </w:p>
  </w:footnote>
  <w:footnote w:id="5">
    <w:p w:rsidR="00AA7A40" w:rsidRDefault="00AA7A40" w:rsidP="005D23FC">
      <w:pPr>
        <w:spacing w:before="120" w:after="0" w:line="240" w:lineRule="auto"/>
        <w:jc w:val="both"/>
        <w:rPr>
          <w:rFonts w:ascii="Calibri" w:hAnsi="Calibri" w:cs="Calibri"/>
          <w:b/>
          <w:bCs/>
          <w:sz w:val="24"/>
          <w:szCs w:val="24"/>
        </w:rPr>
      </w:pPr>
      <w:r w:rsidRPr="00760E57">
        <w:rPr>
          <w:rStyle w:val="FootnoteReference"/>
          <w:rFonts w:ascii="Calibri" w:hAnsi="Calibri" w:cs="Calibri"/>
          <w:sz w:val="24"/>
          <w:szCs w:val="24"/>
        </w:rPr>
        <w:footnoteRef/>
      </w:r>
      <w:r w:rsidRPr="00760E57">
        <w:rPr>
          <w:rFonts w:ascii="Calibri" w:hAnsi="Calibri" w:cs="Calibri"/>
          <w:sz w:val="24"/>
          <w:szCs w:val="24"/>
        </w:rPr>
        <w:t xml:space="preserve"> </w:t>
      </w:r>
      <w:r w:rsidR="00760E57" w:rsidRPr="00760E57">
        <w:rPr>
          <w:rFonts w:ascii="Calibri" w:hAnsi="Calibri" w:cs="Calibri"/>
          <w:sz w:val="24"/>
          <w:szCs w:val="24"/>
        </w:rPr>
        <w:t xml:space="preserve">“Lâkin ittihad, cehl ile olmaz. İttihad, imtizac-ı efkârdır. İmtizac-ı efkâr, marifetin şua'-ı elektrikiyle olur.” </w:t>
      </w:r>
      <w:r w:rsidR="00760E57" w:rsidRPr="00760E57">
        <w:rPr>
          <w:rFonts w:ascii="Calibri" w:hAnsi="Calibri" w:cs="Calibri"/>
          <w:b/>
          <w:bCs/>
          <w:sz w:val="24"/>
          <w:szCs w:val="24"/>
        </w:rPr>
        <w:t xml:space="preserve">Münazarat (73) </w:t>
      </w:r>
    </w:p>
    <w:p w:rsidR="00217320" w:rsidRPr="00760E57" w:rsidRDefault="00217320" w:rsidP="005D23FC">
      <w:pPr>
        <w:spacing w:before="120" w:after="0" w:line="240" w:lineRule="auto"/>
        <w:jc w:val="both"/>
        <w:rPr>
          <w:rFonts w:ascii="Calibri" w:hAnsi="Calibri" w:cs="Calibri"/>
          <w:sz w:val="24"/>
          <w:szCs w:val="24"/>
        </w:rPr>
      </w:pPr>
      <w:r>
        <w:rPr>
          <w:sz w:val="24"/>
          <w:szCs w:val="24"/>
        </w:rPr>
        <w:t>“</w:t>
      </w:r>
      <w:r w:rsidRPr="00A274F5">
        <w:rPr>
          <w:sz w:val="24"/>
          <w:szCs w:val="24"/>
        </w:rPr>
        <w:t>Ey ehl-i İslâm! İşte küre-i zemin gibi ağır ve âlem-i İslâmiyet'e çökmüş olan mesaib ve devahîye karşı nokta-i istinadımız: Muhabbet ile ittihadı, marifet ile imtizac-ı efkârı, uhuvvet ile teavünü emreden nokta-i İslâmiyettir.</w:t>
      </w:r>
      <w:r>
        <w:rPr>
          <w:sz w:val="24"/>
          <w:szCs w:val="24"/>
        </w:rPr>
        <w:t xml:space="preserve">” </w:t>
      </w:r>
      <w:r w:rsidRPr="00A274F5">
        <w:rPr>
          <w:b/>
          <w:bCs/>
          <w:sz w:val="24"/>
          <w:szCs w:val="24"/>
        </w:rPr>
        <w:t>Sünuhat-Tuluat-İşarat (67)</w:t>
      </w:r>
    </w:p>
  </w:footnote>
  <w:footnote w:id="6">
    <w:p w:rsidR="00760E57" w:rsidRDefault="00760E57" w:rsidP="005D23FC">
      <w:pPr>
        <w:pStyle w:val="FootnoteText"/>
        <w:spacing w:before="120"/>
        <w:jc w:val="both"/>
      </w:pPr>
      <w:r w:rsidRPr="00760E57">
        <w:rPr>
          <w:rStyle w:val="FootnoteReference"/>
          <w:rFonts w:ascii="Calibri" w:hAnsi="Calibri" w:cs="Calibri"/>
          <w:sz w:val="24"/>
          <w:szCs w:val="24"/>
        </w:rPr>
        <w:footnoteRef/>
      </w:r>
      <w:r w:rsidRPr="00760E57">
        <w:rPr>
          <w:rFonts w:ascii="Calibri" w:hAnsi="Calibri" w:cs="Calibri"/>
          <w:sz w:val="24"/>
          <w:szCs w:val="24"/>
        </w:rPr>
        <w:t xml:space="preserve"> </w:t>
      </w:r>
      <w:r w:rsidRPr="00760E57">
        <w:rPr>
          <w:rFonts w:ascii="Calibri" w:hAnsi="Calibri" w:cs="Calibri"/>
          <w:color w:val="FF0000"/>
          <w:sz w:val="28"/>
          <w:szCs w:val="28"/>
          <w:rtl/>
        </w:rPr>
        <w:t>وَلاَ تَنَازَعُوا فَتَفْشَلُوا وَتَذْهَبَ رِيحُكُمْ</w:t>
      </w:r>
      <w:r>
        <w:rPr>
          <w:rFonts w:ascii="Calibri" w:hAnsi="Calibri" w:cs="Calibri"/>
          <w:sz w:val="28"/>
          <w:szCs w:val="28"/>
        </w:rPr>
        <w:t xml:space="preserve"> </w:t>
      </w:r>
      <w:r>
        <w:rPr>
          <w:rFonts w:ascii="Calibri" w:hAnsi="Calibri" w:cs="Calibri"/>
          <w:b/>
          <w:bCs/>
          <w:sz w:val="24"/>
          <w:szCs w:val="24"/>
        </w:rPr>
        <w:t>ayetinin işaret ettiği dini kardeşlik ve imtizac hakikatından doğan şevkli bir hissiyatla kaynaşmış olmak hali.</w:t>
      </w:r>
      <w:r w:rsidR="00584690">
        <w:rPr>
          <w:rFonts w:ascii="Calibri" w:hAnsi="Calibri" w:cs="Calibri"/>
          <w:b/>
          <w:bCs/>
          <w:sz w:val="24"/>
          <w:szCs w:val="24"/>
        </w:rPr>
        <w:t xml:space="preserve"> </w:t>
      </w:r>
    </w:p>
  </w:footnote>
  <w:footnote w:id="7">
    <w:p w:rsidR="0040327E" w:rsidRDefault="0040327E" w:rsidP="007C32DF">
      <w:pPr>
        <w:pStyle w:val="FootnoteText"/>
        <w:spacing w:before="120"/>
        <w:jc w:val="both"/>
        <w:rPr>
          <w:rFonts w:ascii="Calibri" w:hAnsi="Calibri" w:cs="Calibri"/>
          <w:b/>
          <w:bCs/>
          <w:sz w:val="24"/>
          <w:szCs w:val="24"/>
        </w:rPr>
      </w:pPr>
      <w:r>
        <w:rPr>
          <w:rStyle w:val="FootnoteReference"/>
        </w:rPr>
        <w:footnoteRef/>
      </w:r>
      <w:r>
        <w:t xml:space="preserve"> </w:t>
      </w:r>
      <w:r>
        <w:rPr>
          <w:rFonts w:ascii="Calibri" w:hAnsi="Calibri" w:cs="Calibri"/>
          <w:b/>
          <w:bCs/>
          <w:sz w:val="24"/>
          <w:szCs w:val="24"/>
        </w:rPr>
        <w:t xml:space="preserve">Bu ayetin irşad ve ikazından anlaşılıyor ki: </w:t>
      </w:r>
      <w:r w:rsidR="007C32DF">
        <w:rPr>
          <w:rFonts w:ascii="Calibri" w:hAnsi="Calibri" w:cs="Calibri"/>
          <w:b/>
          <w:bCs/>
          <w:sz w:val="24"/>
          <w:szCs w:val="24"/>
        </w:rPr>
        <w:t>B</w:t>
      </w:r>
      <w:r>
        <w:rPr>
          <w:rFonts w:ascii="Calibri" w:hAnsi="Calibri" w:cs="Calibri"/>
          <w:b/>
          <w:bCs/>
          <w:sz w:val="24"/>
          <w:szCs w:val="24"/>
        </w:rPr>
        <w:t xml:space="preserve">en önde bulunacağım ve bilineceğim gibi riyakarlık hisleri ve maddi varlıklar ve mallar benim elimde olmalı gibi nefsani arzular enaniyetten çıkar, ihlası ve hizmetin makbuliyetini darbeler ve cemaati de parçalar. </w:t>
      </w:r>
    </w:p>
    <w:p w:rsidR="007C32DF" w:rsidRDefault="007C32DF" w:rsidP="007C32DF">
      <w:pPr>
        <w:pStyle w:val="FootnoteText"/>
        <w:spacing w:before="120"/>
        <w:jc w:val="both"/>
      </w:pPr>
      <w:r w:rsidRPr="004903B0">
        <w:rPr>
          <w:i/>
          <w:iCs/>
          <w:sz w:val="24"/>
          <w:szCs w:val="24"/>
        </w:rPr>
        <w:t xml:space="preserve">(Bakınız: </w:t>
      </w:r>
      <w:r w:rsidRPr="007C32DF">
        <w:rPr>
          <w:i/>
          <w:iCs/>
          <w:sz w:val="24"/>
          <w:szCs w:val="24"/>
          <w:highlight w:val="yellow"/>
        </w:rPr>
        <w:t xml:space="preserve">Enaniyeti Terk Esası, Hubb-u Cahı Terk Etmek Esası, İhlas Düsturu ve Esası ve Riya, </w:t>
      </w:r>
      <w:r>
        <w:rPr>
          <w:i/>
          <w:iCs/>
          <w:sz w:val="24"/>
          <w:szCs w:val="24"/>
          <w:highlight w:val="yellow"/>
        </w:rPr>
        <w:t>Şöhret v</w:t>
      </w:r>
      <w:r w:rsidRPr="007C32DF">
        <w:rPr>
          <w:i/>
          <w:iCs/>
          <w:sz w:val="24"/>
          <w:szCs w:val="24"/>
          <w:highlight w:val="yellow"/>
        </w:rPr>
        <w:t>e Teveccüh-ü Nası Terk Etmek Esası Derlemeleri</w:t>
      </w:r>
      <w:r w:rsidRPr="004903B0">
        <w:rPr>
          <w:i/>
          <w:iCs/>
          <w:sz w:val="24"/>
          <w:szCs w:val="24"/>
        </w:rPr>
        <w:t>)</w:t>
      </w:r>
      <w:r w:rsidRPr="001D487A">
        <w:t xml:space="preserve"> </w:t>
      </w:r>
    </w:p>
  </w:footnote>
  <w:footnote w:id="8">
    <w:p w:rsidR="005D23FC" w:rsidRPr="005D23FC" w:rsidRDefault="005D23FC" w:rsidP="005D23FC">
      <w:pPr>
        <w:spacing w:before="120" w:after="0" w:line="240" w:lineRule="auto"/>
        <w:jc w:val="both"/>
        <w:rPr>
          <w:rFonts w:ascii="Calibri" w:hAnsi="Calibri" w:cs="Calibri"/>
          <w:sz w:val="24"/>
          <w:szCs w:val="24"/>
        </w:rPr>
      </w:pPr>
      <w:r>
        <w:rPr>
          <w:rStyle w:val="FootnoteReference"/>
        </w:rPr>
        <w:footnoteRef/>
      </w:r>
      <w:r>
        <w:t xml:space="preserve"> </w:t>
      </w:r>
      <w:r w:rsidRPr="005D23FC">
        <w:rPr>
          <w:rFonts w:ascii="Calibri" w:hAnsi="Calibri" w:cs="Calibri"/>
          <w:b/>
          <w:bCs/>
          <w:sz w:val="24"/>
          <w:szCs w:val="24"/>
        </w:rPr>
        <w:t>İşte, imtizac bu sırdır ve ayet bu hakikate dikkat çekiyor.</w:t>
      </w:r>
    </w:p>
  </w:footnote>
  <w:footnote w:id="9">
    <w:p w:rsidR="005D23FC" w:rsidRDefault="005D23FC" w:rsidP="005D23FC">
      <w:pPr>
        <w:pStyle w:val="FootnoteText"/>
        <w:spacing w:before="120"/>
        <w:jc w:val="both"/>
      </w:pPr>
      <w:r>
        <w:rPr>
          <w:rStyle w:val="FootnoteReference"/>
        </w:rPr>
        <w:footnoteRef/>
      </w:r>
      <w:r>
        <w:t xml:space="preserve"> </w:t>
      </w:r>
      <w:r>
        <w:rPr>
          <w:rFonts w:ascii="Calibri" w:hAnsi="Calibri" w:cs="Calibri"/>
          <w:b/>
          <w:bCs/>
          <w:sz w:val="24"/>
          <w:szCs w:val="24"/>
        </w:rPr>
        <w:t>Yani, Nurculuk cereyanının merkezinde bulunuyorsunuz. Sizdeki anlaşmazlıklar cemaata akseder; cereyanlar da bu ihtilafı tahrik edip, boğuşturur, parçalar.</w:t>
      </w:r>
    </w:p>
  </w:footnote>
  <w:footnote w:id="10">
    <w:p w:rsidR="005D23FC" w:rsidRDefault="005D23FC" w:rsidP="005D23FC">
      <w:pPr>
        <w:spacing w:before="120" w:after="0" w:line="240" w:lineRule="auto"/>
        <w:jc w:val="both"/>
        <w:rPr>
          <w:rFonts w:ascii="Calibri" w:hAnsi="Calibri" w:cs="Calibri"/>
          <w:b/>
          <w:bCs/>
          <w:sz w:val="24"/>
          <w:szCs w:val="24"/>
        </w:rPr>
      </w:pPr>
      <w:r>
        <w:rPr>
          <w:rStyle w:val="FootnoteReference"/>
        </w:rPr>
        <w:footnoteRef/>
      </w:r>
      <w:r>
        <w:t xml:space="preserve"> </w:t>
      </w:r>
      <w:r w:rsidRPr="005D23FC">
        <w:rPr>
          <w:rFonts w:ascii="Calibri" w:hAnsi="Calibri" w:cs="Calibri"/>
          <w:b/>
          <w:bCs/>
          <w:sz w:val="24"/>
          <w:szCs w:val="24"/>
        </w:rPr>
        <w:t>Eğer kişi veya ce</w:t>
      </w:r>
      <w:r>
        <w:rPr>
          <w:rFonts w:ascii="Calibri" w:hAnsi="Calibri" w:cs="Calibri"/>
          <w:b/>
          <w:bCs/>
          <w:sz w:val="24"/>
          <w:szCs w:val="24"/>
        </w:rPr>
        <w:t>maat hukuk-u umumiyeyi, zaruriyat ve esasatı çiğniyorsa bu anlatılan ittifak muamelesine dahil olamaz.</w:t>
      </w:r>
    </w:p>
    <w:p w:rsidR="005D23FC" w:rsidRPr="005D23FC" w:rsidRDefault="005D23FC" w:rsidP="005D23FC">
      <w:pPr>
        <w:spacing w:before="120" w:after="0" w:line="240" w:lineRule="auto"/>
        <w:jc w:val="both"/>
        <w:rPr>
          <w:rFonts w:ascii="Calibri" w:hAnsi="Calibri" w:cs="Calibri"/>
          <w:sz w:val="24"/>
          <w:szCs w:val="24"/>
        </w:rPr>
      </w:pPr>
      <w:r w:rsidRPr="005D23FC">
        <w:rPr>
          <w:rFonts w:ascii="Calibri" w:hAnsi="Calibri" w:cs="Calibri"/>
          <w:sz w:val="24"/>
          <w:szCs w:val="24"/>
        </w:rPr>
        <w:t>“</w:t>
      </w:r>
      <w:r w:rsidRPr="005D23FC">
        <w:rPr>
          <w:rFonts w:ascii="Calibri" w:hAnsi="Calibri" w:cs="Calibri"/>
          <w:sz w:val="24"/>
          <w:szCs w:val="24"/>
        </w:rPr>
        <w:t>Muhabbet-i din saikasıyla teşekkül eden cemaatlerin iki şart ile umumunu tebrik ve onlarla ittihad ederiz.</w:t>
      </w:r>
    </w:p>
    <w:p w:rsidR="005D23FC" w:rsidRPr="005D23FC" w:rsidRDefault="005D23FC" w:rsidP="005D23FC">
      <w:pPr>
        <w:spacing w:before="120" w:after="0" w:line="240" w:lineRule="auto"/>
        <w:jc w:val="both"/>
        <w:rPr>
          <w:rFonts w:ascii="Calibri" w:hAnsi="Calibri" w:cs="Calibri"/>
          <w:sz w:val="24"/>
          <w:szCs w:val="24"/>
        </w:rPr>
      </w:pPr>
      <w:r w:rsidRPr="005D23FC">
        <w:rPr>
          <w:rFonts w:ascii="Calibri" w:hAnsi="Calibri" w:cs="Calibri"/>
          <w:b/>
          <w:bCs/>
          <w:sz w:val="24"/>
          <w:szCs w:val="24"/>
        </w:rPr>
        <w:t>Birinci şart:</w:t>
      </w:r>
      <w:r w:rsidRPr="005D23FC">
        <w:rPr>
          <w:rFonts w:ascii="Calibri" w:hAnsi="Calibri" w:cs="Calibri"/>
          <w:sz w:val="24"/>
          <w:szCs w:val="24"/>
        </w:rPr>
        <w:t xml:space="preserve"> </w:t>
      </w:r>
      <w:r w:rsidRPr="005D23FC">
        <w:rPr>
          <w:rFonts w:ascii="Calibri" w:hAnsi="Calibri" w:cs="Calibri"/>
          <w:sz w:val="24"/>
          <w:szCs w:val="24"/>
          <w:u w:val="single"/>
        </w:rPr>
        <w:t>Hürriyet-i şer'iyeyi ve asayişi muhafaza</w:t>
      </w:r>
      <w:r w:rsidRPr="005D23FC">
        <w:rPr>
          <w:rFonts w:ascii="Calibri" w:hAnsi="Calibri" w:cs="Calibri"/>
          <w:sz w:val="24"/>
          <w:szCs w:val="24"/>
        </w:rPr>
        <w:t xml:space="preserve"> etmektir.</w:t>
      </w:r>
    </w:p>
    <w:p w:rsidR="005D23FC" w:rsidRDefault="005D23FC" w:rsidP="005D23FC">
      <w:pPr>
        <w:spacing w:before="120" w:after="0" w:line="240" w:lineRule="auto"/>
        <w:jc w:val="both"/>
        <w:rPr>
          <w:rFonts w:ascii="Calibri" w:hAnsi="Calibri" w:cs="Calibri"/>
          <w:b/>
          <w:bCs/>
          <w:sz w:val="24"/>
          <w:szCs w:val="24"/>
        </w:rPr>
      </w:pPr>
      <w:r w:rsidRPr="005D23FC">
        <w:rPr>
          <w:rFonts w:ascii="Calibri" w:hAnsi="Calibri" w:cs="Calibri"/>
          <w:b/>
          <w:bCs/>
          <w:sz w:val="24"/>
          <w:szCs w:val="24"/>
        </w:rPr>
        <w:t>İkinci şart:</w:t>
      </w:r>
      <w:r w:rsidRPr="005D23FC">
        <w:rPr>
          <w:rFonts w:ascii="Calibri" w:hAnsi="Calibri" w:cs="Calibri"/>
          <w:sz w:val="24"/>
          <w:szCs w:val="24"/>
        </w:rPr>
        <w:t xml:space="preserve"> </w:t>
      </w:r>
      <w:r w:rsidRPr="005D23FC">
        <w:rPr>
          <w:rFonts w:ascii="Calibri" w:hAnsi="Calibri" w:cs="Calibri"/>
          <w:sz w:val="24"/>
          <w:szCs w:val="24"/>
          <w:u w:val="single"/>
        </w:rPr>
        <w:t>Muhabbet üzerinde hareket etmek, başka cem'iyete leke sürmekle kendisine kıymet vermeğe çalışmamak.</w:t>
      </w:r>
      <w:r w:rsidRPr="005D23FC">
        <w:rPr>
          <w:rFonts w:ascii="Calibri" w:hAnsi="Calibri" w:cs="Calibri"/>
          <w:sz w:val="24"/>
          <w:szCs w:val="24"/>
        </w:rPr>
        <w:t xml:space="preserve"> Birinde hata bulunsa, müfti-i ümmet cem'iyet-i ülemaya havale etmektir.</w:t>
      </w:r>
      <w:r>
        <w:rPr>
          <w:rFonts w:ascii="Calibri" w:hAnsi="Calibri" w:cs="Calibri"/>
          <w:sz w:val="24"/>
          <w:szCs w:val="24"/>
        </w:rPr>
        <w:t xml:space="preserve">” </w:t>
      </w:r>
      <w:r w:rsidRPr="005D23FC">
        <w:rPr>
          <w:rFonts w:ascii="Calibri" w:hAnsi="Calibri" w:cs="Calibri"/>
          <w:b/>
          <w:bCs/>
          <w:sz w:val="24"/>
          <w:szCs w:val="24"/>
        </w:rPr>
        <w:t>Hutbe-i Şamiye (98)</w:t>
      </w:r>
    </w:p>
    <w:p w:rsidR="005D23FC" w:rsidRPr="005D23FC" w:rsidRDefault="005D23FC" w:rsidP="007C32DF">
      <w:pPr>
        <w:spacing w:before="120" w:after="0" w:line="240" w:lineRule="auto"/>
        <w:jc w:val="both"/>
        <w:rPr>
          <w:rFonts w:ascii="Calibri" w:hAnsi="Calibri" w:cs="Calibri"/>
          <w:b/>
          <w:bCs/>
          <w:sz w:val="24"/>
          <w:szCs w:val="24"/>
        </w:rPr>
      </w:pPr>
      <w:r>
        <w:rPr>
          <w:rFonts w:ascii="Calibri" w:hAnsi="Calibri" w:cs="Calibri"/>
          <w:b/>
          <w:bCs/>
          <w:sz w:val="24"/>
          <w:szCs w:val="24"/>
        </w:rPr>
        <w:t xml:space="preserve">İttifak şartları için </w:t>
      </w:r>
      <w:r w:rsidRPr="004903B0">
        <w:rPr>
          <w:i/>
          <w:iCs/>
          <w:sz w:val="24"/>
          <w:szCs w:val="24"/>
        </w:rPr>
        <w:t xml:space="preserve">(Bakınız: </w:t>
      </w:r>
      <w:r w:rsidR="00DB5FC8">
        <w:rPr>
          <w:i/>
          <w:iCs/>
          <w:sz w:val="24"/>
          <w:szCs w:val="24"/>
          <w:highlight w:val="yellow"/>
        </w:rPr>
        <w:t>Esasat-ı Nuriye Mukaddemesi</w:t>
      </w:r>
      <w:r w:rsidRPr="00584690">
        <w:rPr>
          <w:i/>
          <w:iCs/>
          <w:sz w:val="24"/>
          <w:szCs w:val="24"/>
          <w:highlight w:val="yellow"/>
        </w:rPr>
        <w:t>,</w:t>
      </w:r>
      <w:r w:rsidR="001D487A">
        <w:rPr>
          <w:i/>
          <w:iCs/>
          <w:sz w:val="24"/>
          <w:szCs w:val="24"/>
          <w:highlight w:val="yellow"/>
        </w:rPr>
        <w:t xml:space="preserve"> Esasat-ı Şeriatı Esas Tutmak,</w:t>
      </w:r>
      <w:r w:rsidRPr="00584690">
        <w:rPr>
          <w:i/>
          <w:iCs/>
          <w:sz w:val="24"/>
          <w:szCs w:val="24"/>
          <w:highlight w:val="yellow"/>
        </w:rPr>
        <w:t xml:space="preserve"> </w:t>
      </w:r>
      <w:r w:rsidR="00DB5FC8" w:rsidRPr="00DB5FC8">
        <w:rPr>
          <w:i/>
          <w:iCs/>
          <w:sz w:val="24"/>
          <w:szCs w:val="24"/>
          <w:highlight w:val="yellow"/>
        </w:rPr>
        <w:t xml:space="preserve">İttifak İçin Hürriyet-i Şer’iyeye Riayet </w:t>
      </w:r>
      <w:r w:rsidR="00DB5FC8" w:rsidRPr="007C32DF">
        <w:rPr>
          <w:i/>
          <w:iCs/>
          <w:sz w:val="24"/>
          <w:szCs w:val="24"/>
          <w:highlight w:val="yellow"/>
        </w:rPr>
        <w:t>Şartı</w:t>
      </w:r>
      <w:r w:rsidR="007C32DF" w:rsidRPr="007C32DF">
        <w:rPr>
          <w:i/>
          <w:iCs/>
          <w:sz w:val="24"/>
          <w:szCs w:val="24"/>
          <w:highlight w:val="yellow"/>
        </w:rPr>
        <w:t xml:space="preserve">, İhtilaf Etmemek - İttifak Etmek, İhtilaf Çıkarmamak, Tesanüd ve İttifak Etmek Esası </w:t>
      </w:r>
      <w:r w:rsidR="00DB5FC8" w:rsidRPr="007C32DF">
        <w:rPr>
          <w:i/>
          <w:iCs/>
          <w:sz w:val="24"/>
          <w:szCs w:val="24"/>
          <w:highlight w:val="yellow"/>
        </w:rPr>
        <w:t xml:space="preserve">ve </w:t>
      </w:r>
      <w:r w:rsidR="00DB5FC8" w:rsidRPr="00DB5FC8">
        <w:rPr>
          <w:i/>
          <w:iCs/>
          <w:sz w:val="24"/>
          <w:szCs w:val="24"/>
          <w:highlight w:val="yellow"/>
        </w:rPr>
        <w:t>Hukuk-u umumiye ve şahsiye arasındaki farklar</w:t>
      </w:r>
      <w:r w:rsidR="00DB5FC8">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11">
    <w:p w:rsidR="00584690" w:rsidRDefault="00584690" w:rsidP="005D23FC">
      <w:pPr>
        <w:pStyle w:val="FootnoteText"/>
        <w:spacing w:before="120"/>
        <w:jc w:val="both"/>
      </w:pPr>
      <w:r>
        <w:rPr>
          <w:rStyle w:val="FootnoteReference"/>
        </w:rPr>
        <w:footnoteRef/>
      </w:r>
      <w:r>
        <w:t xml:space="preserve"> </w:t>
      </w:r>
      <w:r>
        <w:rPr>
          <w:rFonts w:ascii="Calibri" w:hAnsi="Calibri" w:cs="Calibri"/>
          <w:b/>
          <w:bCs/>
          <w:sz w:val="24"/>
          <w:szCs w:val="24"/>
        </w:rPr>
        <w:t xml:space="preserve">Tenkid şartları ve müsbet ve menfi tenkidin anlaşılması için </w:t>
      </w:r>
      <w:r w:rsidRPr="004903B0">
        <w:rPr>
          <w:i/>
          <w:iCs/>
          <w:sz w:val="24"/>
          <w:szCs w:val="24"/>
        </w:rPr>
        <w:t xml:space="preserve">(Bakınız: </w:t>
      </w:r>
      <w:r w:rsidRPr="00584690">
        <w:rPr>
          <w:i/>
          <w:iCs/>
          <w:sz w:val="24"/>
          <w:szCs w:val="24"/>
          <w:highlight w:val="yellow"/>
        </w:rPr>
        <w:t>Tenkid 1, Tenkid 2</w:t>
      </w:r>
      <w:r>
        <w:rPr>
          <w:i/>
          <w:iCs/>
          <w:sz w:val="24"/>
          <w:szCs w:val="24"/>
          <w:highlight w:val="yellow"/>
        </w:rPr>
        <w:t xml:space="preserve"> ve</w:t>
      </w:r>
      <w:r w:rsidRPr="00584690">
        <w:rPr>
          <w:i/>
          <w:iCs/>
          <w:sz w:val="24"/>
          <w:szCs w:val="24"/>
          <w:highlight w:val="yellow"/>
        </w:rPr>
        <w:t xml:space="preserve"> Tenkid 3</w:t>
      </w:r>
      <w:r>
        <w:rPr>
          <w:i/>
          <w:iCs/>
          <w:sz w:val="24"/>
          <w:szCs w:val="24"/>
        </w:rPr>
        <w:t xml:space="preserve"> </w:t>
      </w:r>
      <w:r w:rsidRPr="004903B0">
        <w:rPr>
          <w:i/>
          <w:iCs/>
          <w:sz w:val="24"/>
          <w:szCs w:val="24"/>
        </w:rPr>
        <w:t>Derleme</w:t>
      </w:r>
      <w:r>
        <w:rPr>
          <w:i/>
          <w:iCs/>
          <w:sz w:val="24"/>
          <w:szCs w:val="24"/>
        </w:rPr>
        <w:t>ler</w:t>
      </w:r>
      <w:r w:rsidRPr="004903B0">
        <w:rPr>
          <w:i/>
          <w:iCs/>
          <w:sz w:val="24"/>
          <w:szCs w:val="24"/>
        </w:rPr>
        <w:t>i</w:t>
      </w:r>
      <w:r>
        <w:rPr>
          <w:i/>
          <w:iCs/>
          <w:sz w:val="24"/>
          <w:szCs w:val="24"/>
        </w:rPr>
        <w:t xml:space="preserve"> ve </w:t>
      </w:r>
      <w:r w:rsidRPr="00566F39">
        <w:rPr>
          <w:rFonts w:ascii="Calibri" w:hAnsi="Calibri"/>
          <w:i/>
          <w:iCs/>
          <w:sz w:val="24"/>
          <w:szCs w:val="24"/>
        </w:rPr>
        <w:t>İ</w:t>
      </w:r>
      <w:r w:rsidRPr="00566F39">
        <w:rPr>
          <w:rFonts w:ascii="Calibri" w:hAnsi="Calibri" w:cs="Calibri"/>
          <w:i/>
          <w:iCs/>
          <w:sz w:val="24"/>
          <w:szCs w:val="24"/>
        </w:rPr>
        <w:t xml:space="preserve">slam Prensipleri Ansiklopedisi </w:t>
      </w:r>
      <w:r w:rsidRPr="00584690">
        <w:rPr>
          <w:rFonts w:ascii="Calibri" w:hAnsi="Calibri" w:cs="Calibri"/>
          <w:i/>
          <w:iCs/>
          <w:sz w:val="24"/>
          <w:szCs w:val="24"/>
          <w:highlight w:val="yellow"/>
        </w:rPr>
        <w:t>Tenkid</w:t>
      </w:r>
      <w:r w:rsidRPr="00566F39">
        <w:rPr>
          <w:rFonts w:ascii="Calibri" w:hAnsi="Calibri" w:cs="Calibri"/>
          <w:i/>
          <w:iCs/>
          <w:sz w:val="24"/>
          <w:szCs w:val="24"/>
        </w:rPr>
        <w:t xml:space="preserve"> Maddesi</w:t>
      </w:r>
      <w:r w:rsidRPr="004903B0">
        <w:rPr>
          <w:i/>
          <w:i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A7A40"/>
    <w:rsid w:val="001D487A"/>
    <w:rsid w:val="00217320"/>
    <w:rsid w:val="00226ABC"/>
    <w:rsid w:val="0040327E"/>
    <w:rsid w:val="00423F92"/>
    <w:rsid w:val="00502A00"/>
    <w:rsid w:val="00584690"/>
    <w:rsid w:val="005D23FC"/>
    <w:rsid w:val="0069323D"/>
    <w:rsid w:val="006E397C"/>
    <w:rsid w:val="00760E57"/>
    <w:rsid w:val="007751DA"/>
    <w:rsid w:val="007C32DF"/>
    <w:rsid w:val="00962188"/>
    <w:rsid w:val="00A274F5"/>
    <w:rsid w:val="00A97617"/>
    <w:rsid w:val="00AA603F"/>
    <w:rsid w:val="00AA7A40"/>
    <w:rsid w:val="00DB5FC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A7A40"/>
    <w:rPr>
      <w:vertAlign w:val="superscript"/>
    </w:rPr>
  </w:style>
  <w:style w:type="paragraph" w:styleId="FootnoteText">
    <w:name w:val="footnote text"/>
    <w:basedOn w:val="Normal"/>
    <w:link w:val="FootnoteTextChar"/>
    <w:uiPriority w:val="99"/>
    <w:unhideWhenUsed/>
    <w:rsid w:val="00AA7A40"/>
    <w:pPr>
      <w:spacing w:after="0" w:line="240" w:lineRule="auto"/>
    </w:pPr>
    <w:rPr>
      <w:sz w:val="20"/>
      <w:szCs w:val="20"/>
    </w:rPr>
  </w:style>
  <w:style w:type="character" w:customStyle="1" w:styleId="FootnoteTextChar">
    <w:name w:val="Footnote Text Char"/>
    <w:basedOn w:val="DefaultParagraphFont"/>
    <w:link w:val="FootnoteText"/>
    <w:uiPriority w:val="99"/>
    <w:rsid w:val="00AA7A40"/>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9B33-E582-4937-8DBB-1A893322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7</cp:revision>
  <dcterms:created xsi:type="dcterms:W3CDTF">2024-03-27T16:56:00Z</dcterms:created>
  <dcterms:modified xsi:type="dcterms:W3CDTF">2024-03-27T21:05:00Z</dcterms:modified>
</cp:coreProperties>
</file>